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4B" w:rsidRDefault="00F27E4B">
      <w:pPr>
        <w:pStyle w:val="ConsPlusNormal"/>
        <w:outlineLvl w:val="0"/>
      </w:pPr>
      <w:bookmarkStart w:id="0" w:name="_GoBack"/>
      <w:bookmarkEnd w:id="0"/>
      <w:r>
        <w:t>Зарегистрировано в Минюсте РД 4 апреля 2011 г. N 0797</w:t>
      </w:r>
    </w:p>
    <w:p w:rsidR="00F27E4B" w:rsidRDefault="00F27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Title"/>
        <w:jc w:val="center"/>
      </w:pPr>
      <w:r>
        <w:t>КОМИТЕТ ПО ВЕТЕРИНАРИИ РЕСПУБЛИКИ ДАГЕСТАН</w:t>
      </w:r>
    </w:p>
    <w:p w:rsidR="00F27E4B" w:rsidRDefault="00F27E4B">
      <w:pPr>
        <w:pStyle w:val="ConsPlusTitle"/>
        <w:jc w:val="center"/>
      </w:pPr>
    </w:p>
    <w:p w:rsidR="00F27E4B" w:rsidRDefault="00F27E4B">
      <w:pPr>
        <w:pStyle w:val="ConsPlusTitle"/>
        <w:jc w:val="center"/>
      </w:pPr>
      <w:r>
        <w:t>ПРИКАЗ</w:t>
      </w:r>
    </w:p>
    <w:p w:rsidR="00F27E4B" w:rsidRDefault="00F27E4B">
      <w:pPr>
        <w:pStyle w:val="ConsPlusTitle"/>
        <w:jc w:val="center"/>
      </w:pPr>
      <w:r>
        <w:t>от 22 марта 2011 г. N 016</w:t>
      </w:r>
    </w:p>
    <w:p w:rsidR="00F27E4B" w:rsidRDefault="00F27E4B">
      <w:pPr>
        <w:pStyle w:val="ConsPlusTitle"/>
        <w:jc w:val="center"/>
      </w:pPr>
    </w:p>
    <w:p w:rsidR="00F27E4B" w:rsidRDefault="00F27E4B">
      <w:pPr>
        <w:pStyle w:val="ConsPlusTitle"/>
        <w:jc w:val="center"/>
      </w:pPr>
      <w:r>
        <w:t>ОБ УТВЕРЖДЕНИИ ПОРЯДКА СОСТАВЛЕНИЯ И УТВЕРЖДЕНИЯ ПЛАНА</w:t>
      </w:r>
    </w:p>
    <w:p w:rsidR="00F27E4B" w:rsidRDefault="00F27E4B">
      <w:pPr>
        <w:pStyle w:val="ConsPlusTitle"/>
        <w:jc w:val="center"/>
      </w:pPr>
      <w:r>
        <w:t>ФИНАНСОВО-ХОЗЯЙСТВЕННОЙ ДЕЯТЕЛЬНОСТИ ГОСУДАРСТВЕННЫХ</w:t>
      </w:r>
    </w:p>
    <w:p w:rsidR="00F27E4B" w:rsidRDefault="00F27E4B">
      <w:pPr>
        <w:pStyle w:val="ConsPlusTitle"/>
        <w:jc w:val="center"/>
      </w:pPr>
      <w:r>
        <w:t>БЮДЖЕТНЫХ УЧРЕЖДЕНИЙ, НАХОДЯЩИХСЯ В ВЕДЕНИИ КОМИТЕТА ПО</w:t>
      </w:r>
    </w:p>
    <w:p w:rsidR="00F27E4B" w:rsidRDefault="00F27E4B">
      <w:pPr>
        <w:pStyle w:val="ConsPlusTitle"/>
        <w:jc w:val="center"/>
      </w:pPr>
      <w:r>
        <w:t>ВЕТЕРИНАРИИ РЕСПУБЛИКИ ДАГЕСТАН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2291; N 31, ст. 4209) приказываю: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составления и утверждения плана финансово-хозяйственной деятельности государственных бюджетных учреждений, находящихся в ведении Комитета по ветеринарии Республики Дагестан.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2. Настоящий приказ зарегистрировать в Министерстве юстиции Республики Дагестан.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3. Настоящий приказ довести до всех подведомственных ветеринарных учреждений.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4. Контроль за исполнением настоящего приказа возложить на заместителя председателя Комитета ветеринарии РД С.М.Попандопуло.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right"/>
      </w:pPr>
      <w:r>
        <w:t>Председатель Комитета по ветеринарии</w:t>
      </w:r>
    </w:p>
    <w:p w:rsidR="00F27E4B" w:rsidRDefault="00F27E4B">
      <w:pPr>
        <w:pStyle w:val="ConsPlusNormal"/>
        <w:jc w:val="right"/>
      </w:pPr>
      <w:r>
        <w:t>Республики Дагестан</w:t>
      </w:r>
    </w:p>
    <w:p w:rsidR="00F27E4B" w:rsidRDefault="00F27E4B">
      <w:pPr>
        <w:pStyle w:val="ConsPlusNormal"/>
        <w:jc w:val="right"/>
      </w:pPr>
      <w:r>
        <w:t>М.ГАЗИМАГОМЕДОВ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right"/>
        <w:outlineLvl w:val="0"/>
      </w:pPr>
      <w:r>
        <w:t>Приложение</w:t>
      </w:r>
    </w:p>
    <w:p w:rsidR="00F27E4B" w:rsidRDefault="00F27E4B">
      <w:pPr>
        <w:pStyle w:val="ConsPlusNormal"/>
        <w:jc w:val="right"/>
      </w:pPr>
      <w:r>
        <w:t>к приказу Комитета</w:t>
      </w:r>
    </w:p>
    <w:p w:rsidR="00F27E4B" w:rsidRDefault="00F27E4B">
      <w:pPr>
        <w:pStyle w:val="ConsPlusNormal"/>
        <w:jc w:val="right"/>
      </w:pPr>
      <w:r>
        <w:lastRenderedPageBreak/>
        <w:t>по ветеринарии РД</w:t>
      </w:r>
    </w:p>
    <w:p w:rsidR="00F27E4B" w:rsidRDefault="00F27E4B">
      <w:pPr>
        <w:pStyle w:val="ConsPlusNormal"/>
        <w:jc w:val="right"/>
      </w:pPr>
      <w:r>
        <w:t>от 22 марта 2011 г. N 016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Title"/>
        <w:jc w:val="center"/>
      </w:pPr>
      <w:bookmarkStart w:id="1" w:name="P33"/>
      <w:bookmarkEnd w:id="1"/>
      <w:r>
        <w:t>ПОРЯДОК</w:t>
      </w:r>
    </w:p>
    <w:p w:rsidR="00F27E4B" w:rsidRDefault="00F27E4B">
      <w:pPr>
        <w:pStyle w:val="ConsPlusTitle"/>
        <w:jc w:val="center"/>
      </w:pPr>
      <w:r>
        <w:t>СОСТАВЛЕНИЯ И УТВЕРЖДЕНИЯ ПЛАНА ФИНАНСОВО-ХОЗЯЙСТВЕННОЙ</w:t>
      </w:r>
    </w:p>
    <w:p w:rsidR="00F27E4B" w:rsidRDefault="00F27E4B">
      <w:pPr>
        <w:pStyle w:val="ConsPlusTitle"/>
        <w:jc w:val="center"/>
      </w:pPr>
      <w:r>
        <w:t>ДЕЯТЕЛЬНОСТИ ГОСУДАРСТВЕННЫХ УЧРЕЖДЕНИЙ,</w:t>
      </w:r>
    </w:p>
    <w:p w:rsidR="00F27E4B" w:rsidRDefault="00F27E4B">
      <w:pPr>
        <w:pStyle w:val="ConsPlusTitle"/>
        <w:jc w:val="center"/>
      </w:pPr>
      <w:r>
        <w:t>ПОДВЕДОМСТВЕННЫХ КОМИТЕТУ ПО ВЕТЕРИНАРИИ</w:t>
      </w:r>
    </w:p>
    <w:p w:rsidR="00F27E4B" w:rsidRDefault="00F27E4B">
      <w:pPr>
        <w:pStyle w:val="ConsPlusTitle"/>
        <w:jc w:val="center"/>
      </w:pPr>
      <w:r>
        <w:t>РЕСПУБЛИКИ ДАГЕСТАН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center"/>
        <w:outlineLvl w:val="1"/>
      </w:pPr>
      <w:r>
        <w:t>I. Общие положения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1. Настоящий Порядок устанавливает общие требования к составлению и утверждению плана финансово-хозяйственной деятельности государственного учреждения (далее - План).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2. Государственное бюджетное и автономное учреждения, их обособленные (структурные) подразделения без прав юридического лица, осуществляющие полномочия по ведению бухгалтерского учета (далее, соответственно, - учреждение, подразделение), составляют План в соответствии с настоящим Порядком.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3. План составляется на финансовый год в случае, если закон (решение) о бюджете утверждается на один финансовый год либо на финансовый год и плановый период, если закон (решение) о бюджете утверждается на очередной финансовый год и плановый период.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Комитет по ветеринарии РД вправе предусматривать дополнительную детализацию показателей Плана, в том числе по временному интервалу (поквартально, помесячно).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center"/>
        <w:outlineLvl w:val="1"/>
      </w:pPr>
      <w:r>
        <w:t>II. Требования к составлению Плана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4. План составляется учреждением (подразделением) в рублях с точностью до двух знаков после запятой по форме, утвержденной Комитетом по ветеринарии РД, осуществляющим функции и полномочия учредителя, содержащей следующие части: заголовочную, содержательную, оформляющую.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5. В заголовочной части Плана указываются: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1)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2) наименование документа;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lastRenderedPageBreak/>
        <w:t>3) дата составления документа;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4) наименование учреждения;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5) наименование подразделения (в случае составления им Плана);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6) наименование органа, осуществляющего функции и полномочия учредителя;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7) дополнительные реквизиты, идентифицирующие учреждение (адрес фактического местонахождения, идентификационный номер налогоплательщика (ИНН) и значение кода причины постановки на учет (КПП) учреждения);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8) финансовый год (финансовый год и плановый период), на который представлены содержащиеся в документе сведения;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9) наименование единиц измерения показателей, включаемых в План, и их коды по Общероссийскому классификатору единиц измерения </w:t>
      </w:r>
      <w:hyperlink r:id="rId5" w:history="1">
        <w:r>
          <w:rPr>
            <w:color w:val="0000FF"/>
          </w:rPr>
          <w:t>(ОКЕИ)</w:t>
        </w:r>
      </w:hyperlink>
      <w:r>
        <w:t xml:space="preserve"> и (или) Общероссийскому классификатору валют </w:t>
      </w:r>
      <w:hyperlink r:id="rId6" w:history="1">
        <w:r>
          <w:rPr>
            <w:color w:val="0000FF"/>
          </w:rPr>
          <w:t>(ОКВ)</w:t>
        </w:r>
      </w:hyperlink>
      <w:r>
        <w:t>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6. Содержательная часть Плана состоит из текстовой (описательной) части и табличной части.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7. В текстовой (описательной) части Плана указываются: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1) цели деятельности учреждения (подразделения) в соответствии с федеральными законами, иными нормативными правовыми актами и уставом учреждения (положением подразделения);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2) виды деятельности учреждения (подразделения), относящиеся к его основным видам деятельности в соответствии с уставом учреждения (положением подразделения);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3) 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4) общая балансовая стоимость недвижимого государственного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lastRenderedPageBreak/>
        <w:t>5) общая балансовая стоимость движимого государственного имущества на дату составления Плана, в том числе балансовая стоимость особо ценного движимого имущества;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6) иная информация по решению Комитета по ветеринарии РД.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8. В табличной части Плана указываются: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составления Плана) в следующем разрезе согласно </w:t>
      </w:r>
      <w:hyperlink w:anchor="P139" w:history="1">
        <w:r>
          <w:rPr>
            <w:color w:val="0000FF"/>
          </w:rPr>
          <w:t>приложению N 1</w:t>
        </w:r>
      </w:hyperlink>
      <w:r>
        <w:t>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плановые показатели по поступлениям и выплатам учреждения (подразделения) в следующем разрезе согласно </w:t>
      </w:r>
      <w:hyperlink w:anchor="P179" w:history="1">
        <w:r>
          <w:rPr>
            <w:color w:val="0000FF"/>
          </w:rPr>
          <w:t>приложению N 2</w:t>
        </w:r>
      </w:hyperlink>
      <w:r>
        <w:t>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иная информация по решению Комитета по ветеринарии РД.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2" w:name="P71"/>
      <w:bookmarkEnd w:id="2"/>
      <w:r>
        <w:t>9. В целях формирования показателей Плана по поступлениям и выплатам, включенных в табличную часть Плана,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Комитетом по ветеринарии РД информации о планируемых объемах расходных обязательств: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1) субсидий на возмещение нормативных затрат, связанных с оказанием учреждением в соответствии с государственным заданием государственных услуг (выполнением работ) (далее - государственное задание);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2) субсидий, предоставляемых в соответствии с проектом закона (решения) о бюджете на осуществление соответствующих целей (далее - целевая субсидия);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3) бюджетных инвестиций;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4) публичных обязательств перед физическими лицами в денежной форме, полномочия по исполнению которых от имени Комитета по ветеринарии РД планируется передать в установленном порядке учреждению.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10. Плановые показатели по поступлениям формируются учреждением (подразделением) в разрезе: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3" w:name="P77"/>
      <w:bookmarkEnd w:id="3"/>
      <w:r>
        <w:t>1) субсидий на выполнение государственного задания;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4" w:name="P78"/>
      <w:bookmarkEnd w:id="4"/>
      <w:r>
        <w:t>2) целевых субсидий;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5" w:name="P79"/>
      <w:bookmarkEnd w:id="5"/>
      <w:r>
        <w:t>3) бюджетных инвестиций;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6" w:name="P80"/>
      <w:bookmarkEnd w:id="6"/>
      <w:r>
        <w:lastRenderedPageBreak/>
        <w:t>4) 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5) поступлений от реализации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законами);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7" w:name="P82"/>
      <w:bookmarkEnd w:id="7"/>
      <w:r>
        <w:t>6) справочно указываются суммы публичных обязательств перед физическим лицом, подлежащих исполнению в денежной форме, полномочия по исполнению которых от имени Комитета по ветеринарии РД передаются в установленном порядке учреждению.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Суммы, указанные в </w:t>
      </w:r>
      <w:hyperlink w:anchor="P77" w:history="1">
        <w:r>
          <w:rPr>
            <w:color w:val="0000FF"/>
          </w:rPr>
          <w:t>пп. 1</w:t>
        </w:r>
      </w:hyperlink>
      <w:r>
        <w:t xml:space="preserve">, </w:t>
      </w:r>
      <w:hyperlink w:anchor="P78" w:history="1">
        <w:r>
          <w:rPr>
            <w:color w:val="0000FF"/>
          </w:rPr>
          <w:t>2</w:t>
        </w:r>
      </w:hyperlink>
      <w:r>
        <w:t xml:space="preserve">, </w:t>
      </w:r>
      <w:hyperlink w:anchor="P79" w:history="1">
        <w:r>
          <w:rPr>
            <w:color w:val="0000FF"/>
          </w:rPr>
          <w:t>3</w:t>
        </w:r>
      </w:hyperlink>
      <w:r>
        <w:t xml:space="preserve"> и </w:t>
      </w:r>
      <w:hyperlink w:anchor="P82" w:history="1">
        <w:r>
          <w:rPr>
            <w:color w:val="0000FF"/>
          </w:rPr>
          <w:t>6</w:t>
        </w:r>
      </w:hyperlink>
      <w:r>
        <w:t xml:space="preserve"> настоящего пункта, формируются учреждением (подразделением) на основании информации, полученной от Комитета по ветеринарии РД, в соответствии с </w:t>
      </w:r>
      <w:hyperlink w:anchor="P71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Суммы, указанные в </w:t>
      </w:r>
      <w:hyperlink w:anchor="P80" w:history="1">
        <w:r>
          <w:rPr>
            <w:color w:val="0000FF"/>
          </w:rPr>
          <w:t>пп. 4</w:t>
        </w:r>
      </w:hyperlink>
      <w:r>
        <w:t xml:space="preserve"> настоящего пункта, учреждение (подразделение) рассчитывает, исходя из планируемого объема оказания услуг (выполнения работ) и планируемой стоимости их реализации.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11. Плановые показатели по выплатам формируются учреждением (подразделением) в соответствии с настоящим Порядком в разрезе выплат на: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1) оплату труда и начисления на выплаты по оплате труда;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2) услуги связи;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3) транспортные услуги;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4) коммунальные услуги;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5) арендную плату за пользование имуществом;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6) услуги по содержанию имущества;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7) прочие услуги;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8) пособия по социальной помощи населению;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9) приобретение основных средств;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10) приобретение нематериальных активов;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lastRenderedPageBreak/>
        <w:t>11) приобретение материальных запасов;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12) приобретение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13) прочие расходы;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14) иные выплаты, не запрещенные законодательством Российской Федерации.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Комитет по ветеринарии РД вправе при установлении порядка предусматривать детализацию плановых показателей по выплатам до уровня групп и статей классификации операций сектора государственного управления бюджетной классификации Российской Федерации, а по группе "Поступление нефинансовых активов" - с указанием кода группы классификации операций сектора государственного управления.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12. Плановые объемы выплат, связанных с выполнением учреждением (подразделением) государственного задания, формируются с учетом нормативных затрат, определенных в порядке, установленном соответственно Правительством Российской Федерации в соответствии с </w:t>
      </w:r>
      <w:hyperlink r:id="rId7" w:history="1">
        <w:r>
          <w:rPr>
            <w:color w:val="0000FF"/>
          </w:rPr>
          <w:t>пунктом 4 статьи 69.2</w:t>
        </w:r>
      </w:hyperlink>
      <w:r>
        <w:t xml:space="preserve"> Бюджетного кодекса Российской Федерации.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8" w:name="P102"/>
      <w:bookmarkEnd w:id="8"/>
      <w:r>
        <w:t xml:space="preserve">13. При предоставлении учреждению целевой субсидии учреждение (подразделение) составляет и представляет Комитету по ветеринарии РД </w:t>
      </w:r>
      <w:hyperlink r:id="rId8" w:history="1">
        <w:r>
          <w:rPr>
            <w:color w:val="0000FF"/>
          </w:rPr>
          <w:t>сведения</w:t>
        </w:r>
      </w:hyperlink>
      <w:r>
        <w:t xml:space="preserve"> об операциях с целевыми субсидиями, предоставленными государственному учреждению (код формы документа по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управленческой документации 0501016) (далее - Сведения) </w:t>
      </w:r>
      <w:hyperlink w:anchor="P104" w:history="1">
        <w:r>
          <w:rPr>
            <w:color w:val="0000FF"/>
          </w:rPr>
          <w:t>&lt;*&gt;</w:t>
        </w:r>
      </w:hyperlink>
      <w:r>
        <w:t>, по форме, утвержденной Минфином России.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9" w:name="P104"/>
      <w:bookmarkEnd w:id="9"/>
      <w:r>
        <w:t>&lt;*&gt; Сведения не должны содержать сведений о субсидиях, предоставленных учреждению на возмещение нормативных затрат, связанных с оказанием, в соответствии с государственным заданием, государственных услуг.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При составлении Сведений учреждением (подразделением) в них указываются: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1) в графе 1 - наименование целевой субсидии с указанием цели, на осуществление которой предоставляется целевая субсидия;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2) в графе 2 - аналитический код, присвоенный органом, осуществляющим функции и полномочия учредителя, для учета операций с </w:t>
      </w:r>
      <w:r>
        <w:lastRenderedPageBreak/>
        <w:t>целевой субсидией (далее - код субсидии);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3) в графе 3 - код классификации операций сектора государственного управления, исходя из экономического содержания планируемых поступлений и выплат;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4) в графах 4, 5 - не 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5 - суммы разрешенного к использованию остатка;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5) в графе 6 - сумма планируемых на текущий финансовый год поступлений целевых субсидий;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6) в графе 7 - сумма планируемых на текущий финансовый год выплат, источником финансового обеспечения которых являются целевые субсидии.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Плановые показатели по выплатам могут быть детализированы до уровня групп и статей классификации операций сектора государственного управления бюджетной классификации Российской Федерации, а по группе "Поступление нефинансовых активов" - с указанием кода группы классификации операций сектора государственного управления.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В случае если учреждению (подразделению) предоставляется несколько целевых субсидий, показатели Сведений формируются по каждой целевой субсидии без формирования группировочных итогов.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Формирование объемов планируемых выплат, указанных в Сведениях, осуществляется в соответствии с нормативным правовым актом, устанавливающим порядок предоставления целевой субсидии из федерального бюджета.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14. Объемы планируемых выплат, источником финансового обеспечения которых являются поступления от оказания учреждениями (подразделениями)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платы, установленным Комитетом по ветеринарии РД.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15. Комитет по ветеринарии РД вправе установить для учреждения формирование плановых поступлений и соответствующих им плановых </w:t>
      </w:r>
      <w:r>
        <w:lastRenderedPageBreak/>
        <w:t>выплат, в том числе в разрезе видов услуг (работ).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16. Комитет по ветеринарии РД вправе утвердить единую форму Плана для государственного автономного и бюджетного учреждения либо две отдельные формы для государственного автономного и бюджетного учреждения соответственно, а также правила по их заполнению.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17. После утверждения в установленном порядке закона (решения) о бюджете План и Сведения, при необходимости, уточняются учреждением (подразделением) и направляются на утверждение с учетом положений </w:t>
      </w:r>
      <w:hyperlink w:anchor="P124" w:history="1">
        <w:r>
          <w:rPr>
            <w:color w:val="0000FF"/>
          </w:rPr>
          <w:t>раздела III</w:t>
        </w:r>
      </w:hyperlink>
      <w:r>
        <w:t xml:space="preserve"> "Требования к утверждению Плана и Сведений" настоящего Порядка.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18. Оформляющая часть Плана должна содержать подписи должностных лиц, ответственных за содержащиеся в Плане данные: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исполнителя документа.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19. В целях внесения изменений в План и (или) Сведения в соответствии с настоящим Порядком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center"/>
        <w:outlineLvl w:val="1"/>
      </w:pPr>
      <w:bookmarkStart w:id="10" w:name="P124"/>
      <w:bookmarkEnd w:id="10"/>
      <w:r>
        <w:t>III. Требования к утверждению Плана и Сведений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20. План государственного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21. План государственного бюджетного учреждения (План с учетом изменений) утверждается Комитетом по ветеринарии РД.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Комитет по ветеринарии РД вправе в установленном им порядке предоставить право утверждать План (План с учетом изменений) руководителю государственного бюджетного учреждения.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>22. План подразделения (План с учетом изменений) утверждается руководителем учреждения.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lastRenderedPageBreak/>
        <w:t xml:space="preserve">23. Сведения, указанные в </w:t>
      </w:r>
      <w:hyperlink w:anchor="P102" w:history="1">
        <w:r>
          <w:rPr>
            <w:color w:val="0000FF"/>
          </w:rPr>
          <w:t>пункте 13</w:t>
        </w:r>
      </w:hyperlink>
      <w:r>
        <w:t xml:space="preserve"> настоящего Порядка, сформированные учреждением, утверждаются Комитетом по ветеринарии РД.</w:t>
      </w:r>
    </w:p>
    <w:p w:rsidR="00F27E4B" w:rsidRDefault="00F27E4B">
      <w:pPr>
        <w:pStyle w:val="ConsPlusNormal"/>
        <w:spacing w:before="280"/>
        <w:ind w:firstLine="540"/>
        <w:jc w:val="both"/>
      </w:pPr>
      <w:r>
        <w:t xml:space="preserve">Сведения, указанные в </w:t>
      </w:r>
      <w:hyperlink w:anchor="P102" w:history="1">
        <w:r>
          <w:rPr>
            <w:color w:val="0000FF"/>
          </w:rPr>
          <w:t>пункте 13</w:t>
        </w:r>
      </w:hyperlink>
      <w:r>
        <w:t xml:space="preserve"> настоящего Порядка, сформированные подразделением, утверждаются учреждением.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right"/>
        <w:outlineLvl w:val="1"/>
      </w:pPr>
      <w:r>
        <w:t>Приложение N 1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center"/>
      </w:pPr>
      <w:bookmarkStart w:id="11" w:name="P139"/>
      <w:bookmarkEnd w:id="11"/>
      <w:r>
        <w:t>ПОКАЗАТЕЛИ ФИНАНСОВОГО СОСТОЯНИЯ УЧРЕЖДЕНИЯ</w:t>
      </w:r>
    </w:p>
    <w:p w:rsidR="00F27E4B" w:rsidRDefault="00F27E4B">
      <w:pPr>
        <w:pStyle w:val="ConsPlusNormal"/>
        <w:jc w:val="both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440"/>
      </w:tblGrid>
      <w:tr w:rsidR="00F27E4B">
        <w:trPr>
          <w:trHeight w:val="240"/>
        </w:trPr>
        <w:tc>
          <w:tcPr>
            <w:tcW w:w="4680" w:type="dxa"/>
          </w:tcPr>
          <w:p w:rsidR="00F27E4B" w:rsidRDefault="00F27E4B">
            <w:pPr>
              <w:pStyle w:val="ConsPlusNonformat"/>
              <w:jc w:val="both"/>
            </w:pPr>
            <w:r>
              <w:t xml:space="preserve">       Наименование показателя       </w:t>
            </w:r>
          </w:p>
        </w:tc>
        <w:tc>
          <w:tcPr>
            <w:tcW w:w="1440" w:type="dxa"/>
          </w:tcPr>
          <w:p w:rsidR="00F27E4B" w:rsidRDefault="00F27E4B">
            <w:pPr>
              <w:pStyle w:val="ConsPlusNonformat"/>
              <w:jc w:val="both"/>
            </w:pPr>
            <w:r>
              <w:t xml:space="preserve">  Сумма,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тыс. руб. </w:t>
            </w: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Нефинансовые активы, </w:t>
            </w:r>
            <w:proofErr w:type="gramStart"/>
            <w:r>
              <w:t xml:space="preserve">всего:   </w:t>
            </w:r>
            <w:proofErr w:type="gram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из них:                  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недвижимое имущество, </w:t>
            </w:r>
            <w:proofErr w:type="gramStart"/>
            <w:r>
              <w:t xml:space="preserve">всего:   </w:t>
            </w:r>
            <w:proofErr w:type="gram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в том числе:             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остаточная стоимость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Особо ценное движимое имущество,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всего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в том числе:             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остаточная стоимость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Финансовые активы, всего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из них:                  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дебиторская задолженность по доходам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>дебиторская задолженность по расходам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Обязательства, всего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из них:                  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просроченная кредиторская       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задолженность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</w:tbl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right"/>
        <w:outlineLvl w:val="1"/>
      </w:pPr>
      <w:r>
        <w:t>Приложение N 2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center"/>
      </w:pPr>
      <w:bookmarkStart w:id="12" w:name="P179"/>
      <w:bookmarkEnd w:id="12"/>
      <w:r>
        <w:t>ПОКАЗАТЕЛИ ПО ПОСТУПЛЕНИЯМ И ВЫПЛАТАМ УЧРЕЖДЕНИЯ</w:t>
      </w:r>
    </w:p>
    <w:p w:rsidR="00F27E4B" w:rsidRDefault="00F27E4B">
      <w:pPr>
        <w:pStyle w:val="ConsPlusNormal"/>
        <w:jc w:val="both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840"/>
        <w:gridCol w:w="1920"/>
        <w:gridCol w:w="1800"/>
      </w:tblGrid>
      <w:tr w:rsidR="00F27E4B">
        <w:trPr>
          <w:trHeight w:val="240"/>
        </w:trPr>
        <w:tc>
          <w:tcPr>
            <w:tcW w:w="2760" w:type="dxa"/>
            <w:vMerge w:val="restart"/>
          </w:tcPr>
          <w:p w:rsidR="00F27E4B" w:rsidRDefault="00F27E4B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    показателя      </w:t>
            </w:r>
          </w:p>
        </w:tc>
        <w:tc>
          <w:tcPr>
            <w:tcW w:w="840" w:type="dxa"/>
            <w:vMerge w:val="restart"/>
          </w:tcPr>
          <w:p w:rsidR="00F27E4B" w:rsidRDefault="00F27E4B">
            <w:pPr>
              <w:pStyle w:val="ConsPlusNonformat"/>
              <w:jc w:val="both"/>
            </w:pPr>
            <w:r>
              <w:t>Всего</w:t>
            </w:r>
          </w:p>
        </w:tc>
        <w:tc>
          <w:tcPr>
            <w:tcW w:w="3720" w:type="dxa"/>
            <w:gridSpan w:val="2"/>
          </w:tcPr>
          <w:p w:rsidR="00F27E4B" w:rsidRDefault="00F27E4B">
            <w:pPr>
              <w:pStyle w:val="ConsPlusNonformat"/>
              <w:jc w:val="both"/>
            </w:pPr>
            <w:r>
              <w:t xml:space="preserve">        В том числе         </w:t>
            </w:r>
          </w:p>
        </w:tc>
      </w:tr>
      <w:tr w:rsidR="00F27E4B">
        <w:tc>
          <w:tcPr>
            <w:tcW w:w="2640" w:type="dxa"/>
            <w:vMerge/>
            <w:tcBorders>
              <w:top w:val="nil"/>
            </w:tcBorders>
          </w:tcPr>
          <w:p w:rsidR="00F27E4B" w:rsidRDefault="00F27E4B"/>
        </w:tc>
        <w:tc>
          <w:tcPr>
            <w:tcW w:w="720" w:type="dxa"/>
            <w:vMerge/>
            <w:tcBorders>
              <w:top w:val="nil"/>
            </w:tcBorders>
          </w:tcPr>
          <w:p w:rsidR="00F27E4B" w:rsidRDefault="00F27E4B"/>
        </w:tc>
        <w:tc>
          <w:tcPr>
            <w:tcW w:w="192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  по лицевым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  счетам,    </w:t>
            </w:r>
          </w:p>
          <w:p w:rsidR="00F27E4B" w:rsidRDefault="00F27E4B">
            <w:pPr>
              <w:pStyle w:val="ConsPlusNonformat"/>
              <w:jc w:val="both"/>
            </w:pPr>
            <w:r>
              <w:lastRenderedPageBreak/>
              <w:t xml:space="preserve">  открытым в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  органах,   </w:t>
            </w:r>
          </w:p>
          <w:p w:rsidR="00F27E4B" w:rsidRDefault="00F27E4B">
            <w:pPr>
              <w:pStyle w:val="ConsPlusNonformat"/>
              <w:jc w:val="both"/>
            </w:pPr>
            <w:r>
              <w:t>осуществляющих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  ведение    </w:t>
            </w:r>
          </w:p>
          <w:p w:rsidR="00F27E4B" w:rsidRDefault="00F27E4B">
            <w:pPr>
              <w:pStyle w:val="ConsPlusNonformat"/>
              <w:jc w:val="both"/>
            </w:pPr>
            <w:r>
              <w:t>лицевых счетов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 учреждений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lastRenderedPageBreak/>
              <w:t xml:space="preserve"> по счетам,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открытым в  </w:t>
            </w:r>
          </w:p>
          <w:p w:rsidR="00F27E4B" w:rsidRDefault="00F27E4B">
            <w:pPr>
              <w:pStyle w:val="ConsPlusNonformat"/>
              <w:jc w:val="both"/>
            </w:pPr>
            <w:r>
              <w:lastRenderedPageBreak/>
              <w:t xml:space="preserve">  кредитных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организациях </w:t>
            </w:r>
          </w:p>
        </w:tc>
      </w:tr>
      <w:tr w:rsidR="00F27E4B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lastRenderedPageBreak/>
              <w:t xml:space="preserve"> Остаток средств </w:t>
            </w:r>
            <w:hyperlink w:anchor="P2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 Поступления, всего: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</w:t>
            </w:r>
          </w:p>
        </w:tc>
        <w:tc>
          <w:tcPr>
            <w:tcW w:w="8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 Выплаты, всего:     </w:t>
            </w:r>
          </w:p>
          <w:p w:rsidR="00F27E4B" w:rsidRDefault="00F27E4B">
            <w:pPr>
              <w:pStyle w:val="ConsPlusNonformat"/>
              <w:jc w:val="both"/>
            </w:pPr>
            <w:r>
              <w:t xml:space="preserve"> 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</w:t>
            </w:r>
          </w:p>
        </w:tc>
        <w:tc>
          <w:tcPr>
            <w:tcW w:w="8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  <w:tr w:rsidR="00F27E4B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  <w:r>
              <w:t xml:space="preserve"> Остаток средств </w:t>
            </w:r>
            <w:hyperlink w:anchor="P21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84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F27E4B" w:rsidRDefault="00F27E4B">
            <w:pPr>
              <w:pStyle w:val="ConsPlusNonformat"/>
              <w:jc w:val="both"/>
            </w:pPr>
          </w:p>
        </w:tc>
      </w:tr>
    </w:tbl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Справочно:</w:t>
      </w:r>
    </w:p>
    <w:p w:rsidR="00F27E4B" w:rsidRDefault="00F27E4B">
      <w:pPr>
        <w:pStyle w:val="ConsPlusNormal"/>
        <w:jc w:val="both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2040"/>
      </w:tblGrid>
      <w:tr w:rsidR="00F27E4B">
        <w:trPr>
          <w:trHeight w:val="240"/>
        </w:trPr>
        <w:tc>
          <w:tcPr>
            <w:tcW w:w="4560" w:type="dxa"/>
          </w:tcPr>
          <w:p w:rsidR="00F27E4B" w:rsidRDefault="00F27E4B">
            <w:pPr>
              <w:pStyle w:val="ConsPlusNonformat"/>
              <w:jc w:val="both"/>
            </w:pPr>
            <w:r>
              <w:t xml:space="preserve">Объем публичных обязательств, всего </w:t>
            </w:r>
          </w:p>
        </w:tc>
        <w:tc>
          <w:tcPr>
            <w:tcW w:w="2040" w:type="dxa"/>
          </w:tcPr>
          <w:p w:rsidR="00F27E4B" w:rsidRDefault="00F27E4B">
            <w:pPr>
              <w:pStyle w:val="ConsPlusNonformat"/>
              <w:jc w:val="both"/>
            </w:pPr>
          </w:p>
        </w:tc>
      </w:tr>
    </w:tbl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ind w:firstLine="540"/>
        <w:jc w:val="both"/>
      </w:pPr>
      <w:r>
        <w:t>--------------------------------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13" w:name="P211"/>
      <w:bookmarkEnd w:id="13"/>
      <w:r>
        <w:t>&lt;*&gt; Указывается планируемый остаток средств на начало планируемого года.</w:t>
      </w:r>
    </w:p>
    <w:p w:rsidR="00F27E4B" w:rsidRDefault="00F27E4B">
      <w:pPr>
        <w:pStyle w:val="ConsPlusNormal"/>
        <w:spacing w:before="280"/>
        <w:ind w:firstLine="540"/>
        <w:jc w:val="both"/>
      </w:pPr>
      <w:bookmarkStart w:id="14" w:name="P212"/>
      <w:bookmarkEnd w:id="14"/>
      <w:r>
        <w:t>&lt;**&gt; Указывается планируемый остаток средств на конец планируемого года.</w:t>
      </w: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jc w:val="both"/>
      </w:pPr>
    </w:p>
    <w:p w:rsidR="00F27E4B" w:rsidRDefault="00F27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D6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B"/>
    <w:rsid w:val="0025620A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81E2-816E-4B50-9B15-55B017F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E4B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27E4B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E4B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27E4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45DD74B075DA49E6B73927A015EAF9588251391EF36D0ABD1FBB39EF4F012EC4F95F71205EA6FOBt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845DD74B075DA49E6B73927A015EAF9589271591ED36D0ABD1FBB39EF4F012EC4F95F7110DOEt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45DD74B075DA49E6B73927A015EAF9588261790E836D0ABD1FBB39EOFt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845DD74B075DA49E6B73927A015EAF9588241593E936D0ABD1FBB39EOFt4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A845DD74B075DA49E6B73927A015EAF9588241991EF36D0ABD1FBB39EOFt4O" TargetMode="External"/><Relationship Id="rId9" Type="http://schemas.openxmlformats.org/officeDocument/2006/relationships/hyperlink" Target="consultantplus://offline/ref=2A845DD74B075DA49E6B73927A015EAF9588261790E936D0ABD1FBB39EOFt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2018-04-17T14:45:00Z</dcterms:created>
  <dcterms:modified xsi:type="dcterms:W3CDTF">2018-04-17T14:45:00Z</dcterms:modified>
</cp:coreProperties>
</file>